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i/>
          <w:i/>
          <w:color w:val="FF0000"/>
          <w:szCs w:val="24"/>
        </w:rPr>
      </w:pPr>
      <w:r>
        <w:rPr>
          <w:rFonts w:ascii="Times New Roman" w:hAnsi="Times New Roman"/>
          <w:i/>
          <w:color w:val="FF0000"/>
          <w:szCs w:val="24"/>
        </w:rPr>
        <w:t xml:space="preserve">В СУПД прикладывайте, пожалуйста, в форматах </w:t>
      </w:r>
      <w:r>
        <w:rPr>
          <w:rFonts w:ascii="Times New Roman" w:hAnsi="Times New Roman"/>
          <w:i/>
          <w:color w:val="FF0000"/>
          <w:szCs w:val="24"/>
          <w:lang w:val="en-US"/>
        </w:rPr>
        <w:t>Word</w:t>
      </w:r>
      <w:r>
        <w:rPr>
          <w:rFonts w:ascii="Times New Roman" w:hAnsi="Times New Roman"/>
          <w:i/>
          <w:color w:val="FF0000"/>
          <w:szCs w:val="24"/>
        </w:rPr>
        <w:t xml:space="preserve"> и </w:t>
      </w:r>
      <w:r>
        <w:rPr>
          <w:rFonts w:ascii="Times New Roman" w:hAnsi="Times New Roman"/>
          <w:i/>
          <w:color w:val="FF0000"/>
          <w:szCs w:val="24"/>
          <w:lang w:val="en-US"/>
        </w:rPr>
        <w:t>PDF</w:t>
      </w:r>
      <w:r>
        <w:rPr>
          <w:rFonts w:ascii="Times New Roman" w:hAnsi="Times New Roman"/>
          <w:i/>
          <w:color w:val="FF0000"/>
          <w:szCs w:val="24"/>
        </w:rPr>
        <w:t>.</w:t>
      </w:r>
      <w:bookmarkStart w:id="0" w:name="_GoBack"/>
      <w:bookmarkEnd w:id="0"/>
    </w:p>
    <w:p>
      <w:pPr>
        <w:pStyle w:val="Normal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>
      <w:pPr>
        <w:pStyle w:val="Normal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tbl>
      <w:tblPr>
        <w:tblStyle w:val="a3"/>
        <w:tblW w:w="97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5"/>
        <w:gridCol w:w="5254"/>
        <w:gridCol w:w="4002"/>
      </w:tblGrid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1.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2.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 xml:space="preserve">3. 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 xml:space="preserve">4. 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5.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Ссылка на специальный раздел «Центр «Точка роста» официального сайта общеобразовательной организации</w:t>
            </w:r>
            <w:r>
              <w:rPr>
                <w:rStyle w:val="Style15"/>
                <w:rFonts w:ascii="Times New Roman" w:hAnsi="Times New Roman"/>
                <w:kern w:val="0"/>
                <w:szCs w:val="24"/>
                <w:lang w:val="ru-RU" w:bidi="ar-SA"/>
              </w:rPr>
              <w:footnoteReference w:id="2"/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 xml:space="preserve">6. 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7.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8.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9.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10.</w:t>
            </w:r>
          </w:p>
        </w:tc>
        <w:tc>
          <w:tcPr>
            <w:tcW w:w="525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002" w:type="dxa"/>
            <w:tcBorders/>
          </w:tcPr>
          <w:p>
            <w:pPr>
              <w:pStyle w:val="Normal"/>
              <w:widowControl/>
              <w:spacing w:before="0" w:after="0"/>
              <w:ind w:right="-1" w:hanging="0"/>
              <w:contextualSpacing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kern w:val="0"/>
                <w:szCs w:val="24"/>
                <w:lang w:val="ru-RU" w:bidi="ar-SA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276" w:right="849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NTTimes/Cyrillic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widowControl w:val="false"/>
        <w:rPr>
          <w:rFonts w:ascii="Times New Roman" w:hAnsi="Times New Roman" w:cs="Times New Roman"/>
        </w:rPr>
      </w:pPr>
      <w:r>
        <w:rPr>
          <w:rStyle w:val="Style16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В разделе «Центр «Точка роста» размещается информация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размещается   информация   о   национальном   проекте</w:t>
      </w:r>
    </w:p>
    <w:p>
      <w:pPr>
        <w:pStyle w:val="Style24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«Образование» (в том числе логотип), адрес сайта и официальная символика Министерства просвещения Российской Федерации. </w:t>
      </w:r>
    </w:p>
  </w:footnote>
</w:footnotes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2395"/>
    <w:pPr>
      <w:widowControl/>
      <w:bidi w:val="0"/>
      <w:spacing w:lineRule="auto" w:line="240" w:before="0" w:after="0"/>
      <w:jc w:val="left"/>
    </w:pPr>
    <w:rPr>
      <w:rFonts w:ascii="NTTimes/Cyrillic" w:hAnsi="NTTimes/Cyrillic" w:eastAsia="Times New Roman" w:cs="Times New Roman"/>
      <w:color w:val="auto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272395"/>
    <w:rPr>
      <w:rFonts w:ascii="NTTimes/Cyrillic" w:hAnsi="NTTimes/Cyrillic" w:eastAsia="Times New Roman" w:cs="Times New Roman"/>
      <w:sz w:val="20"/>
      <w:szCs w:val="20"/>
      <w:lang w:eastAsia="ru-RU"/>
    </w:rPr>
  </w:style>
  <w:style w:type="character" w:styleId="1" w:customStyle="1">
    <w:name w:val="Текст сноски Знак1"/>
    <w:basedOn w:val="DefaultParagraphFont"/>
    <w:link w:val="a4"/>
    <w:uiPriority w:val="99"/>
    <w:semiHidden/>
    <w:qFormat/>
    <w:rsid w:val="00272395"/>
    <w:rPr>
      <w:rFonts w:ascii="Calibri" w:hAnsi="Calibri" w:eastAsia="Segoe UI" w:cs="Tahoma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72395"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Footnote Text"/>
    <w:basedOn w:val="Normal"/>
    <w:link w:val="1"/>
    <w:uiPriority w:val="99"/>
    <w:semiHidden/>
    <w:unhideWhenUsed/>
    <w:rsid w:val="00272395"/>
    <w:pPr>
      <w:overflowPunct w:val="true"/>
    </w:pPr>
    <w:rPr>
      <w:rFonts w:ascii="Calibri" w:hAnsi="Calibri" w:eastAsia="Segoe UI" w:cs="Tahoma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lang w:eastAsia="ru-RU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LibreOffice/7.0.3.1$Linux_X86_64 LibreOffice_project/00$Build-2</Application>
  <AppVersion>15.0000</AppVersion>
  <Pages>2</Pages>
  <Words>241</Words>
  <Characters>2001</Characters>
  <CharactersWithSpaces>2238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2021-08-20T12:27:00Z</dcterms:created>
  <dc:creator>Белышева Ольга</dc:creator>
  <dc:description/>
  <dc:language>ru-RU</dc:language>
  <cp:lastModifiedBy>Белышева Ольга</cp:lastModifiedBy>
  <dcterms:modified xsi:type="dcterms:W3CDTF">2021-08-27T13:09:00Z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